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F2" w:rsidRDefault="00C01AF2" w:rsidP="00C01AF2">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 uno de agosto del año 2017 dos mil diecisiete. </w:t>
      </w:r>
    </w:p>
    <w:p w:rsidR="00C01AF2" w:rsidRDefault="00C01AF2" w:rsidP="00C01AF2">
      <w:pPr>
        <w:rPr>
          <w:rFonts w:ascii="Calibri" w:hAnsi="Calibri" w:cs="Calibri"/>
          <w:color w:val="767171" w:themeColor="background2" w:themeShade="80"/>
          <w:sz w:val="26"/>
          <w:szCs w:val="26"/>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0172/2doJAM/2017-JN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C01AF2" w:rsidRDefault="00C01AF2" w:rsidP="00C01AF2">
      <w:pPr>
        <w:pStyle w:val="Textoindependiente"/>
        <w:rPr>
          <w:rFonts w:ascii="Calibri" w:hAnsi="Calibri" w:cs="Calibri"/>
          <w:color w:val="767171" w:themeColor="background2" w:themeShade="80"/>
          <w:sz w:val="26"/>
          <w:szCs w:val="26"/>
        </w:rPr>
      </w:pPr>
    </w:p>
    <w:p w:rsidR="00C01AF2" w:rsidRDefault="00C01AF2" w:rsidP="00C01AF2">
      <w:pPr>
        <w:pStyle w:val="Textoindependiente"/>
        <w:rPr>
          <w:rFonts w:ascii="Calibri" w:hAnsi="Calibri" w:cs="Calibri"/>
          <w:color w:val="767171" w:themeColor="background2" w:themeShade="80"/>
          <w:sz w:val="26"/>
          <w:szCs w:val="26"/>
        </w:rPr>
      </w:pPr>
    </w:p>
    <w:p w:rsidR="00C01AF2" w:rsidRDefault="00C01AF2" w:rsidP="00C01AF2">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C01AF2" w:rsidRDefault="00C01AF2" w:rsidP="00C01AF2">
      <w:pPr>
        <w:pStyle w:val="Textoindependiente"/>
        <w:ind w:firstLine="708"/>
        <w:jc w:val="center"/>
        <w:rPr>
          <w:rFonts w:ascii="Calibri" w:hAnsi="Calibri" w:cs="Calibri"/>
          <w:b/>
          <w:bCs/>
          <w:color w:val="767171" w:themeColor="background2" w:themeShade="80"/>
          <w:sz w:val="26"/>
          <w:szCs w:val="26"/>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30 treinta de diciembre del año 2016 dos mil dieciséis, sin que de las constancias de la presente causa administrativa se desprenda lo contrario. . . . . . . . . . . . . . . . . . . . . . . . . . . . . . . . . . . </w:t>
      </w:r>
    </w:p>
    <w:p w:rsidR="00C01AF2" w:rsidRDefault="00C01AF2" w:rsidP="00C01AF2">
      <w:pPr>
        <w:jc w:val="both"/>
        <w:rPr>
          <w:rFonts w:ascii="Calibri" w:hAnsi="Calibri" w:cs="Calibri"/>
          <w:b/>
          <w:i/>
          <w:iCs/>
          <w:color w:val="767171" w:themeColor="background2" w:themeShade="80"/>
          <w:sz w:val="26"/>
          <w:szCs w:val="26"/>
          <w:lang w:val="es-MX"/>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359884 (tres-cinco-nueve-ocho-ocho-cuatro), de fecha 30 treinta de diciembre del año 2016 dos mil dieciséis; documento que, admitido como  prueba  a  las  partes (visible a  foja 24 </w:t>
      </w:r>
    </w:p>
    <w:p w:rsidR="00C01AF2" w:rsidRDefault="00C01AF2" w:rsidP="00C01AF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0172/2doJAM/2017-JN</w:t>
      </w:r>
    </w:p>
    <w:p w:rsidR="00C01AF2" w:rsidRDefault="00C01AF2" w:rsidP="00C01AF2">
      <w:pPr>
        <w:jc w:val="both"/>
        <w:rPr>
          <w:rFonts w:ascii="Calibri" w:hAnsi="Calibri" w:cs="Calibri"/>
          <w:color w:val="767171" w:themeColor="background2" w:themeShade="80"/>
          <w:sz w:val="26"/>
          <w:szCs w:val="26"/>
        </w:rPr>
      </w:pPr>
    </w:p>
    <w:p w:rsidR="00C01AF2" w:rsidRDefault="00C01AF2" w:rsidP="00C01AF2">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C01AF2" w:rsidRDefault="00C01AF2" w:rsidP="00C01AF2">
      <w:pPr>
        <w:jc w:val="both"/>
        <w:rPr>
          <w:rFonts w:ascii="Calibri" w:hAnsi="Calibri" w:cs="Calibri"/>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C01AF2" w:rsidRDefault="00C01AF2" w:rsidP="00C01AF2">
      <w:pPr>
        <w:jc w:val="both"/>
        <w:rPr>
          <w:rFonts w:ascii="Calibri" w:hAnsi="Calibri" w:cs="Calibri"/>
          <w:b/>
          <w:bCs/>
          <w:i/>
          <w:iCs/>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C01AF2" w:rsidRDefault="00C01AF2" w:rsidP="00C01AF2">
      <w:pPr>
        <w:rPr>
          <w:rFonts w:ascii="Calibri" w:hAnsi="Calibri" w:cs="Calibri"/>
          <w:b/>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C01AF2" w:rsidRDefault="00C01AF2" w:rsidP="00C01AF2">
      <w:pPr>
        <w:ind w:firstLine="708"/>
        <w:jc w:val="both"/>
        <w:rPr>
          <w:rFonts w:ascii="Calibri" w:hAnsi="Calibri" w:cs="Calibri"/>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C01AF2" w:rsidRDefault="00C01AF2" w:rsidP="00C01AF2">
      <w:pPr>
        <w:jc w:val="both"/>
        <w:rPr>
          <w:rFonts w:ascii="Calibri" w:hAnsi="Calibri" w:cs="Calibri"/>
          <w:b/>
          <w:bCs/>
          <w:i/>
          <w:iCs/>
          <w:color w:val="767171" w:themeColor="background2" w:themeShade="80"/>
          <w:sz w:val="26"/>
          <w:szCs w:val="26"/>
        </w:rPr>
      </w:pPr>
    </w:p>
    <w:p w:rsidR="00C01AF2" w:rsidRDefault="00C01AF2" w:rsidP="00C01AF2">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C01AF2" w:rsidRDefault="00C01AF2" w:rsidP="00C01AF2">
      <w:pPr>
        <w:jc w:val="both"/>
        <w:rPr>
          <w:rFonts w:ascii="Calibri" w:hAnsi="Calibri" w:cs="Calibri"/>
          <w:b/>
          <w:bCs/>
          <w:i/>
          <w:iCs/>
          <w:color w:val="767171" w:themeColor="background2" w:themeShade="80"/>
          <w:sz w:val="26"/>
          <w:szCs w:val="26"/>
        </w:rPr>
      </w:pPr>
    </w:p>
    <w:p w:rsidR="00C01AF2" w:rsidRDefault="00C01AF2" w:rsidP="00C01AF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w:t>
      </w:r>
      <w:r>
        <w:rPr>
          <w:rFonts w:ascii="Calibri" w:hAnsi="Calibri" w:cs="Calibri"/>
          <w:bCs/>
          <w:iCs/>
          <w:color w:val="767171" w:themeColor="background2" w:themeShade="80"/>
          <w:sz w:val="26"/>
          <w:szCs w:val="26"/>
        </w:rPr>
        <w:lastRenderedPageBreak/>
        <w:t xml:space="preserve">conductor y no a la persona moral, y que el número económico es diverso al que señala el actor, que por todo ello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 </w:t>
      </w:r>
      <w:r>
        <w:rPr>
          <w:rFonts w:ascii="Calibri" w:hAnsi="Calibri" w:cs="Calibri"/>
          <w:bCs/>
          <w:iCs/>
          <w:color w:val="767171" w:themeColor="background2" w:themeShade="80"/>
          <w:sz w:val="26"/>
          <w:szCs w:val="26"/>
        </w:rPr>
        <w:t xml:space="preserve">.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 . . .</w:t>
      </w:r>
    </w:p>
    <w:p w:rsidR="00C01AF2" w:rsidRDefault="00C01AF2" w:rsidP="00C01AF2">
      <w:pPr>
        <w:pStyle w:val="Sangradetextonormal"/>
        <w:ind w:left="0" w:firstLine="708"/>
        <w:jc w:val="both"/>
        <w:rPr>
          <w:rFonts w:ascii="Calibri" w:hAnsi="Calibri" w:cs="Calibri"/>
          <w:bCs/>
          <w:iCs/>
          <w:color w:val="767171" w:themeColor="background2" w:themeShade="80"/>
          <w:sz w:val="20"/>
          <w:szCs w:val="20"/>
        </w:rPr>
      </w:pPr>
    </w:p>
    <w:p w:rsidR="00C01AF2" w:rsidRDefault="00C01AF2" w:rsidP="00C01AF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LE-850, el cual resulta ser propiedad de la sociedad mercantil denominada </w:t>
      </w:r>
      <w:r>
        <w:rPr>
          <w:rFonts w:ascii="Calibri" w:hAnsi="Calibri" w:cs="Calibri"/>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según consta en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A-60 (palpable, en copia certificada, a fojas 16 dieciséis a 22 veintidós); y, en segundo lugar, </w:t>
      </w:r>
      <w:r>
        <w:rPr>
          <w:rFonts w:ascii="Calibri" w:hAnsi="Calibri" w:cs="Calibri"/>
          <w:bCs/>
          <w:iCs/>
          <w:color w:val="767171" w:themeColor="background2" w:themeShade="80"/>
          <w:sz w:val="26"/>
          <w:szCs w:val="26"/>
        </w:rPr>
        <w:t xml:space="preserve">al haberse recogido en garantía de la multa que, en su caso se impusiera, las placas de circulación de un autobús que también resulta ser propiedad de la persona moral mencionada;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286867884 (dos-ocho-seis-ocho-seis-siete-ocho-ocho-cuatro) del autobús marca Mercedes Benz, tipo Ómnibus, modelo 2016 dos mil dieciséis con placas número 749288-D;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23 veintitrés),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w:t>
      </w:r>
    </w:p>
    <w:p w:rsidR="00C01AF2" w:rsidRDefault="00C01AF2" w:rsidP="00C01AF2">
      <w:pPr>
        <w:pStyle w:val="Sangradetextonormal"/>
        <w:ind w:left="0" w:firstLine="708"/>
        <w:jc w:val="both"/>
        <w:rPr>
          <w:rFonts w:ascii="Calibri" w:hAnsi="Calibri" w:cs="Calibri"/>
          <w:bCs/>
          <w:iCs/>
          <w:color w:val="7F7F7F" w:themeColor="text1" w:themeTint="80"/>
          <w:sz w:val="26"/>
          <w:szCs w:val="26"/>
        </w:rPr>
      </w:pPr>
    </w:p>
    <w:p w:rsidR="00C01AF2" w:rsidRDefault="00C01AF2" w:rsidP="00C01AF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0172/2doJAM/2017-JN</w:t>
      </w:r>
    </w:p>
    <w:p w:rsidR="00C01AF2" w:rsidRDefault="00C01AF2" w:rsidP="00C01AF2">
      <w:pPr>
        <w:pStyle w:val="Sangradetextonormal"/>
        <w:ind w:left="0" w:firstLine="708"/>
        <w:jc w:val="both"/>
        <w:rPr>
          <w:rFonts w:ascii="Calibri" w:hAnsi="Calibri" w:cs="Calibri"/>
          <w:bCs/>
          <w:iCs/>
          <w:color w:val="7F7F7F" w:themeColor="text1" w:themeTint="80"/>
          <w:sz w:val="26"/>
          <w:szCs w:val="26"/>
        </w:rPr>
      </w:pPr>
    </w:p>
    <w:p w:rsidR="00C01AF2" w:rsidRDefault="00C01AF2" w:rsidP="00C01AF2">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w:t>
      </w:r>
      <w:r>
        <w:rPr>
          <w:rFonts w:ascii="Calibri" w:hAnsi="Calibri" w:cs="Calibri"/>
          <w:bCs/>
          <w:iCs/>
          <w:color w:val="767171" w:themeColor="background2" w:themeShade="80"/>
          <w:sz w:val="26"/>
          <w:szCs w:val="26"/>
        </w:rPr>
        <w:t xml:space="preserve">resulta procedente, pues es evidente que es un acto administrativo que conlleva a un acto de molestia ocasionado por una autoridad a un particular y tan es así, que </w:t>
      </w:r>
      <w:r>
        <w:rPr>
          <w:rFonts w:ascii="Calibri" w:hAnsi="Calibri" w:cs="Calibri"/>
          <w:bCs/>
          <w:iCs/>
          <w:color w:val="7F7F7F" w:themeColor="text1" w:themeTint="80"/>
          <w:sz w:val="26"/>
          <w:szCs w:val="26"/>
        </w:rPr>
        <w:t xml:space="preserve">se ven afectados  los  intereses  de  la  actora tal y como quedó demostrado en el </w:t>
      </w:r>
      <w:r>
        <w:rPr>
          <w:rFonts w:ascii="Calibri" w:hAnsi="Calibri" w:cs="Calibri"/>
          <w:bCs/>
          <w:iCs/>
          <w:color w:val="7F7F7F" w:themeColor="text1" w:themeTint="80"/>
          <w:sz w:val="26"/>
          <w:szCs w:val="26"/>
        </w:rPr>
        <w:lastRenderedPageBreak/>
        <w:t xml:space="preserve">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C01AF2" w:rsidRDefault="00C01AF2" w:rsidP="00C01AF2">
      <w:pPr>
        <w:ind w:firstLine="708"/>
        <w:jc w:val="right"/>
        <w:rPr>
          <w:rFonts w:ascii="Calibri" w:hAnsi="Calibri" w:cs="Calibri"/>
          <w:b/>
          <w:color w:val="767171" w:themeColor="background2" w:themeShade="80"/>
          <w:sz w:val="26"/>
          <w:szCs w:val="26"/>
        </w:rPr>
      </w:pPr>
    </w:p>
    <w:p w:rsidR="00C01AF2" w:rsidRDefault="00C01AF2" w:rsidP="00C01AF2">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C01AF2" w:rsidRDefault="00C01AF2" w:rsidP="00C01AF2">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01AF2" w:rsidRDefault="00C01AF2" w:rsidP="00C01AF2">
      <w:pPr>
        <w:ind w:firstLine="708"/>
        <w:jc w:val="both"/>
        <w:rPr>
          <w:rFonts w:ascii="Calibri" w:hAnsi="Calibri" w:cs="Calibri"/>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30 treinta de diciembre del año 2016 dos mil dieciséis,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359884 (tres-cinco-nueve-ocho-ocho-cuatro), en la que señaló como concepto de la infracción: </w:t>
      </w:r>
      <w:r>
        <w:rPr>
          <w:rFonts w:ascii="Calibri" w:hAnsi="Calibri" w:cs="Calibri"/>
          <w:i/>
          <w:color w:val="767171" w:themeColor="background2" w:themeShade="80"/>
          <w:sz w:val="26"/>
          <w:szCs w:val="26"/>
        </w:rPr>
        <w:t xml:space="preserve">“Por no cumplir con la ruta, horario, itinerario y frecuencias autorizadas por la dirección. (Afore la ruta A 60….percatándome que no cumplen con el despacho físico #10 con horario programado a las 06:08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…generando la molestia de los usuarios por la demora...”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 xml:space="preserve">“Nombre: *****.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w:t>
      </w:r>
    </w:p>
    <w:p w:rsidR="00C01AF2" w:rsidRDefault="00C01AF2" w:rsidP="00C01AF2">
      <w:pPr>
        <w:pStyle w:val="Textoindependiente"/>
        <w:tabs>
          <w:tab w:val="left" w:pos="3594"/>
        </w:tabs>
        <w:rPr>
          <w:rFonts w:ascii="Calibri" w:hAnsi="Calibri" w:cs="Calibri"/>
          <w:color w:val="767171" w:themeColor="background2" w:themeShade="80"/>
          <w:sz w:val="26"/>
          <w:szCs w:val="26"/>
          <w:lang w:val="es-ES"/>
        </w:rPr>
      </w:pPr>
    </w:p>
    <w:p w:rsidR="00C01AF2" w:rsidRDefault="00C01AF2" w:rsidP="00C01AF2">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C01AF2" w:rsidRDefault="00C01AF2" w:rsidP="00C01AF2">
      <w:pPr>
        <w:pStyle w:val="Textoindependiente"/>
        <w:tabs>
          <w:tab w:val="left" w:pos="3594"/>
        </w:tabs>
        <w:rPr>
          <w:rFonts w:ascii="Calibri" w:hAnsi="Calibri" w:cs="Calibri"/>
          <w:iCs/>
          <w:color w:val="767171" w:themeColor="background2" w:themeShade="80"/>
          <w:sz w:val="26"/>
          <w:szCs w:val="26"/>
        </w:rPr>
      </w:pPr>
    </w:p>
    <w:p w:rsidR="00C01AF2" w:rsidRDefault="00C01AF2" w:rsidP="00C01AF2">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C01AF2" w:rsidRDefault="00C01AF2" w:rsidP="00C01AF2">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359884 (tres-cinco-nueve-ocho-ocho-cuatro), de fecha 30 treinta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 . . . . . . . . . . . . . . . . . . . . . . . . . . . . . . . . . . . . . . . . . . . . . </w:t>
      </w:r>
    </w:p>
    <w:p w:rsidR="00C01AF2" w:rsidRDefault="00C01AF2" w:rsidP="00C01AF2">
      <w:pPr>
        <w:jc w:val="both"/>
        <w:rPr>
          <w:color w:val="767171" w:themeColor="background2" w:themeShade="80"/>
          <w:sz w:val="22"/>
        </w:rPr>
      </w:pPr>
    </w:p>
    <w:p w:rsidR="00C01AF2" w:rsidRDefault="00C01AF2" w:rsidP="00C01AF2">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01AF2" w:rsidRDefault="00C01AF2" w:rsidP="00C01AF2">
      <w:pPr>
        <w:ind w:firstLine="708"/>
        <w:jc w:val="both"/>
        <w:rPr>
          <w:color w:val="767171" w:themeColor="background2" w:themeShade="80"/>
          <w:lang w:val="es-MX"/>
        </w:rPr>
      </w:pPr>
    </w:p>
    <w:p w:rsidR="00C01AF2" w:rsidRDefault="00C01AF2" w:rsidP="00C01AF2">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01AF2" w:rsidRDefault="00C01AF2" w:rsidP="00C01AF2">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C01AF2" w:rsidRDefault="00C01AF2" w:rsidP="00C01AF2">
      <w:pPr>
        <w:jc w:val="both"/>
        <w:rPr>
          <w:rFonts w:ascii="Calibri" w:hAnsi="Calibri" w:cs="Calibri"/>
          <w:iCs/>
          <w:color w:val="AEAAAA" w:themeColor="background2" w:themeShade="BF"/>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C01AF2" w:rsidRDefault="00C01AF2" w:rsidP="00C01AF2">
      <w:pPr>
        <w:jc w:val="both"/>
        <w:rPr>
          <w:rFonts w:ascii="Calibri" w:hAnsi="Calibri" w:cs="Calibri"/>
          <w:bCs/>
          <w:color w:val="AEAAAA" w:themeColor="background2" w:themeShade="BF"/>
          <w:sz w:val="26"/>
          <w:szCs w:val="26"/>
        </w:rPr>
      </w:pPr>
    </w:p>
    <w:p w:rsidR="00C01AF2" w:rsidRDefault="00C01AF2" w:rsidP="00C01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lastRenderedPageBreak/>
        <w:t xml:space="preserve">           Así las cosas, analizado que es lo expuesto por las partes, así como el acta de infracción impugnada, lo mencionado en tal concepto de impugnación resulta </w:t>
      </w:r>
    </w:p>
    <w:p w:rsidR="00C01AF2" w:rsidRDefault="00C01AF2" w:rsidP="00C01AF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0172/2doJAM/2017-JN</w:t>
      </w:r>
    </w:p>
    <w:p w:rsidR="00C01AF2" w:rsidRDefault="00C01AF2" w:rsidP="00C01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C01AF2" w:rsidRDefault="00C01AF2" w:rsidP="00C01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highlight w:val="yellow"/>
        </w:rPr>
      </w:pP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359884 (tres-cinco-nueve-ocho-ocho-cuatro), de fecha 30 treinta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C01AF2" w:rsidRDefault="00C01AF2" w:rsidP="00C01AF2">
      <w:pPr>
        <w:jc w:val="both"/>
        <w:rPr>
          <w:rFonts w:ascii="Calibri" w:hAnsi="Calibri" w:cs="Calibri"/>
          <w:bCs/>
          <w:color w:val="767171" w:themeColor="background2" w:themeShade="80"/>
          <w:sz w:val="26"/>
          <w:szCs w:val="26"/>
        </w:rPr>
      </w:pPr>
    </w:p>
    <w:p w:rsidR="00C01AF2" w:rsidRDefault="00C01AF2" w:rsidP="00C01AF2">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“Afore” y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C01AF2" w:rsidRDefault="00C01AF2" w:rsidP="00C01AF2">
      <w:pPr>
        <w:ind w:firstLine="708"/>
        <w:jc w:val="both"/>
        <w:rPr>
          <w:rFonts w:ascii="Calibri" w:hAnsi="Calibri"/>
          <w:color w:val="7F7F7F" w:themeColor="text1" w:themeTint="80"/>
          <w:sz w:val="26"/>
          <w:szCs w:val="26"/>
        </w:rPr>
      </w:pPr>
    </w:p>
    <w:p w:rsidR="00C01AF2" w:rsidRDefault="00C01AF2" w:rsidP="00C01AF2">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C01AF2" w:rsidRDefault="00C01AF2" w:rsidP="00C01AF2">
      <w:pPr>
        <w:ind w:firstLine="708"/>
        <w:jc w:val="both"/>
        <w:rPr>
          <w:rFonts w:ascii="Calibri" w:hAnsi="Calibri" w:cs="Calibri"/>
          <w:bCs/>
          <w:color w:val="767171" w:themeColor="background2" w:themeShade="80"/>
          <w:sz w:val="26"/>
          <w:szCs w:val="26"/>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w:t>
      </w:r>
      <w:r>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359884 (tres-cinco-nueve-ocho-ocho-cuatro)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30</w:t>
      </w:r>
      <w:r>
        <w:rPr>
          <w:rFonts w:ascii="Calibri" w:hAnsi="Calibri" w:cs="Calibri"/>
          <w:color w:val="767171" w:themeColor="background2" w:themeShade="80"/>
          <w:sz w:val="26"/>
          <w:szCs w:val="26"/>
        </w:rPr>
        <w:t xml:space="preserve"> treinta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w:t>
      </w:r>
    </w:p>
    <w:p w:rsidR="00C01AF2" w:rsidRDefault="00C01AF2" w:rsidP="00C01AF2">
      <w:pPr>
        <w:jc w:val="both"/>
        <w:rPr>
          <w:rFonts w:ascii="Calibri" w:hAnsi="Calibri" w:cs="Calibri"/>
          <w:color w:val="767171" w:themeColor="background2" w:themeShade="80"/>
          <w:sz w:val="26"/>
          <w:szCs w:val="26"/>
        </w:rPr>
      </w:pPr>
    </w:p>
    <w:p w:rsidR="00C01AF2" w:rsidRDefault="00C01AF2" w:rsidP="00C01AF2">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01AF2" w:rsidRDefault="00C01AF2" w:rsidP="00C01AF2">
      <w:pPr>
        <w:pStyle w:val="Textoindependiente"/>
        <w:rPr>
          <w:rFonts w:ascii="Calibri" w:hAnsi="Calibri" w:cs="Arial"/>
          <w:color w:val="767171" w:themeColor="background2" w:themeShade="80"/>
          <w:sz w:val="20"/>
          <w:szCs w:val="27"/>
          <w:lang w:val="es-ES"/>
        </w:rPr>
      </w:pPr>
    </w:p>
    <w:p w:rsidR="00C01AF2" w:rsidRDefault="00C01AF2" w:rsidP="00C01AF2">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C01AF2" w:rsidRDefault="00C01AF2" w:rsidP="00C01AF2">
      <w:pPr>
        <w:pStyle w:val="Textoindependiente"/>
        <w:rPr>
          <w:rFonts w:ascii="Calibri" w:hAnsi="Calibri"/>
          <w:b/>
          <w:bCs/>
          <w:i/>
          <w:iCs/>
          <w:color w:val="767171" w:themeColor="background2" w:themeShade="80"/>
          <w:sz w:val="26"/>
          <w:szCs w:val="27"/>
        </w:rPr>
      </w:pPr>
    </w:p>
    <w:p w:rsidR="00C01AF2" w:rsidRDefault="00C01AF2" w:rsidP="00C01AF2">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C01AF2" w:rsidRDefault="00C01AF2" w:rsidP="00C01AF2">
      <w:pPr>
        <w:pStyle w:val="Textoindependiente"/>
        <w:ind w:firstLine="708"/>
        <w:rPr>
          <w:rFonts w:ascii="Calibri" w:hAnsi="Calibri"/>
          <w:b/>
          <w:i/>
          <w:color w:val="767171" w:themeColor="background2" w:themeShade="80"/>
          <w:sz w:val="26"/>
        </w:rPr>
      </w:pPr>
    </w:p>
    <w:p w:rsidR="00C01AF2" w:rsidRDefault="00C01AF2" w:rsidP="00C01AF2">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p>
    <w:p w:rsidR="00C01AF2" w:rsidRDefault="00C01AF2" w:rsidP="00C01AF2">
      <w:pPr>
        <w:pStyle w:val="Textoindependiente"/>
        <w:ind w:firstLine="708"/>
        <w:rPr>
          <w:rFonts w:ascii="Calibri" w:hAnsi="Calibri" w:cs="Arial"/>
          <w:color w:val="767171" w:themeColor="background2" w:themeShade="80"/>
          <w:sz w:val="26"/>
          <w:szCs w:val="27"/>
        </w:rPr>
      </w:pPr>
    </w:p>
    <w:p w:rsidR="00C01AF2" w:rsidRDefault="00C01AF2" w:rsidP="00C01AF2">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C01AF2" w:rsidRDefault="00C01AF2" w:rsidP="00C01AF2">
      <w:pPr>
        <w:pStyle w:val="Textoindependiente"/>
        <w:ind w:firstLine="708"/>
        <w:rPr>
          <w:rFonts w:ascii="Calibri" w:hAnsi="Calibri"/>
          <w:color w:val="767171" w:themeColor="background2" w:themeShade="80"/>
          <w:sz w:val="20"/>
          <w:szCs w:val="20"/>
          <w:lang w:val="es-ES"/>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C01AF2" w:rsidRDefault="00C01AF2" w:rsidP="00C01AF2">
      <w:pPr>
        <w:pStyle w:val="Textoindependiente"/>
        <w:ind w:firstLine="708"/>
        <w:rPr>
          <w:rFonts w:ascii="Calibri" w:hAnsi="Calibri" w:cs="Calibri"/>
          <w:color w:val="767171" w:themeColor="background2" w:themeShade="80"/>
          <w:sz w:val="20"/>
          <w:szCs w:val="20"/>
        </w:rPr>
      </w:pPr>
    </w:p>
    <w:p w:rsidR="00C01AF2" w:rsidRDefault="00C01AF2" w:rsidP="00C01AF2">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C01AF2" w:rsidRDefault="00C01AF2" w:rsidP="00C01AF2">
      <w:pPr>
        <w:pStyle w:val="Textoindependiente"/>
        <w:rPr>
          <w:rFonts w:ascii="Calibri" w:hAnsi="Calibri" w:cs="Calibri"/>
          <w:color w:val="767171" w:themeColor="background2" w:themeShade="80"/>
          <w:sz w:val="20"/>
          <w:szCs w:val="20"/>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C01AF2" w:rsidRDefault="00C01AF2" w:rsidP="00C01AF2">
      <w:pPr>
        <w:pStyle w:val="Textoindependiente"/>
        <w:ind w:firstLine="708"/>
        <w:rPr>
          <w:rFonts w:ascii="Calibri" w:hAnsi="Calibri" w:cs="Calibri"/>
          <w:color w:val="767171" w:themeColor="background2" w:themeShade="80"/>
          <w:sz w:val="20"/>
          <w:szCs w:val="20"/>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C01AF2" w:rsidRDefault="00C01AF2" w:rsidP="00C01AF2">
      <w:pPr>
        <w:pStyle w:val="Textoindependiente"/>
        <w:ind w:firstLine="708"/>
        <w:rPr>
          <w:rFonts w:ascii="Calibri" w:hAnsi="Calibri" w:cs="Calibri"/>
          <w:bCs/>
          <w:iCs/>
          <w:color w:val="767171" w:themeColor="background2" w:themeShade="80"/>
          <w:sz w:val="20"/>
          <w:szCs w:val="20"/>
        </w:rPr>
      </w:pPr>
    </w:p>
    <w:p w:rsidR="00C01AF2" w:rsidRDefault="00C01AF2" w:rsidP="00C01AF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359884 (tres-cinco-nueve-ocho-ocho-cuatro), </w:t>
      </w:r>
      <w:r>
        <w:rPr>
          <w:rFonts w:ascii="Calibri" w:hAnsi="Calibri" w:cs="Calibri"/>
          <w:color w:val="767171" w:themeColor="background2" w:themeShade="80"/>
          <w:sz w:val="26"/>
          <w:szCs w:val="26"/>
        </w:rPr>
        <w:t xml:space="preserve">de fecha </w:t>
      </w:r>
      <w:r>
        <w:rPr>
          <w:rFonts w:ascii="Calibri" w:hAnsi="Calibri" w:cs="Calibri"/>
          <w:b/>
          <w:color w:val="767171" w:themeColor="background2" w:themeShade="80"/>
          <w:sz w:val="26"/>
          <w:szCs w:val="26"/>
        </w:rPr>
        <w:t>30</w:t>
      </w:r>
      <w:r>
        <w:rPr>
          <w:rFonts w:ascii="Calibri" w:hAnsi="Calibri" w:cs="Calibri"/>
          <w:color w:val="767171" w:themeColor="background2" w:themeShade="80"/>
          <w:sz w:val="26"/>
          <w:szCs w:val="26"/>
        </w:rPr>
        <w:t xml:space="preserve"> treinta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C01AF2" w:rsidRDefault="00C01AF2" w:rsidP="00C01AF2">
      <w:pPr>
        <w:ind w:firstLine="708"/>
        <w:jc w:val="both"/>
        <w:rPr>
          <w:rFonts w:ascii="Calibri" w:hAnsi="Calibri" w:cs="Calibri"/>
          <w:b/>
          <w:bCs/>
          <w:i/>
          <w:iCs/>
          <w:color w:val="767171" w:themeColor="background2" w:themeShade="80"/>
          <w:sz w:val="20"/>
          <w:szCs w:val="20"/>
        </w:rPr>
      </w:pPr>
    </w:p>
    <w:p w:rsidR="00C01AF2" w:rsidRDefault="00C01AF2" w:rsidP="00C01AF2">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w:t>
      </w:r>
    </w:p>
    <w:p w:rsidR="00C01AF2" w:rsidRDefault="00C01AF2" w:rsidP="00C01AF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0172/2doJAM/2017-JN</w:t>
      </w:r>
    </w:p>
    <w:p w:rsidR="00C01AF2" w:rsidRDefault="00C01AF2" w:rsidP="00C01AF2">
      <w:pPr>
        <w:jc w:val="both"/>
        <w:rPr>
          <w:rFonts w:ascii="Calibri" w:hAnsi="Calibri" w:cs="Arial"/>
          <w:color w:val="767171" w:themeColor="background2" w:themeShade="80"/>
          <w:sz w:val="26"/>
          <w:szCs w:val="27"/>
        </w:rPr>
      </w:pPr>
    </w:p>
    <w:p w:rsidR="00C01AF2" w:rsidRDefault="00C01AF2" w:rsidP="00C01AF2">
      <w:pPr>
        <w:jc w:val="both"/>
        <w:rPr>
          <w:rFonts w:ascii="Calibri" w:hAnsi="Calibri"/>
          <w:color w:val="767171" w:themeColor="background2" w:themeShade="80"/>
          <w:sz w:val="26"/>
        </w:rPr>
      </w:pPr>
      <w:r>
        <w:rPr>
          <w:rFonts w:ascii="Calibri" w:hAnsi="Calibri" w:cs="Arial"/>
          <w:color w:val="767171" w:themeColor="background2" w:themeShade="80"/>
          <w:sz w:val="26"/>
          <w:szCs w:val="27"/>
        </w:rPr>
        <w:t xml:space="preserve">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a lo argumentado en el considerando Noveno de esta misma resolución . . . . . . . . . . . .</w:t>
      </w:r>
      <w:r>
        <w:rPr>
          <w:rFonts w:ascii="Calibri" w:hAnsi="Calibri" w:cs="Calibri"/>
          <w:color w:val="767171" w:themeColor="background2" w:themeShade="80"/>
          <w:sz w:val="26"/>
          <w:szCs w:val="26"/>
        </w:rPr>
        <w:t xml:space="preserve"> . . . . . . . . . . . . . . . . . . . . . . . . . . . . . . . . . . . . . . . . . . . . . . . . </w:t>
      </w:r>
    </w:p>
    <w:p w:rsidR="00C01AF2" w:rsidRDefault="00C01AF2" w:rsidP="00C01AF2">
      <w:pPr>
        <w:ind w:firstLine="708"/>
        <w:jc w:val="both"/>
        <w:rPr>
          <w:rFonts w:ascii="Calibri" w:hAnsi="Calibri" w:cs="Calibri"/>
          <w:b/>
          <w:color w:val="767171" w:themeColor="background2" w:themeShade="80"/>
          <w:sz w:val="20"/>
          <w:szCs w:val="20"/>
        </w:rPr>
      </w:pPr>
    </w:p>
    <w:p w:rsidR="00C01AF2" w:rsidRDefault="00C01AF2" w:rsidP="00C01AF2">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C01AF2" w:rsidRDefault="00C01AF2" w:rsidP="00C01AF2">
      <w:pPr>
        <w:jc w:val="both"/>
        <w:rPr>
          <w:rFonts w:ascii="Calibri" w:hAnsi="Calibri" w:cs="Calibri"/>
          <w:color w:val="767171" w:themeColor="background2" w:themeShade="80"/>
          <w:sz w:val="20"/>
          <w:szCs w:val="20"/>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C01AF2" w:rsidRDefault="00C01AF2" w:rsidP="00C01AF2">
      <w:pPr>
        <w:pStyle w:val="Textoindependiente"/>
        <w:rPr>
          <w:rFonts w:ascii="Calibri" w:hAnsi="Calibri" w:cs="Calibri"/>
          <w:color w:val="767171" w:themeColor="background2" w:themeShade="80"/>
          <w:sz w:val="20"/>
          <w:szCs w:val="20"/>
        </w:rPr>
      </w:pPr>
    </w:p>
    <w:p w:rsidR="00C01AF2" w:rsidRDefault="00C01AF2" w:rsidP="00C01AF2">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01AF2" w:rsidRDefault="00C01AF2" w:rsidP="00C01AF2">
      <w:pPr>
        <w:pStyle w:val="Textoindependiente"/>
        <w:rPr>
          <w:rFonts w:ascii="Calibri" w:hAnsi="Calibri" w:cs="Calibri"/>
          <w:color w:val="767171" w:themeColor="background2" w:themeShade="80"/>
          <w:sz w:val="20"/>
          <w:szCs w:val="20"/>
        </w:rPr>
      </w:pPr>
    </w:p>
    <w:p w:rsidR="00C01AF2" w:rsidRDefault="00C01AF2" w:rsidP="00C01AF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C01AF2" w:rsidRDefault="00B237B6">
      <w:pPr>
        <w:rPr>
          <w:lang w:val="es-MX"/>
        </w:rPr>
      </w:pPr>
      <w:bookmarkStart w:id="0" w:name="_GoBack"/>
      <w:bookmarkEnd w:id="0"/>
    </w:p>
    <w:sectPr w:rsidR="00B237B6" w:rsidRPr="00C01A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F2"/>
    <w:rsid w:val="00B237B6"/>
    <w:rsid w:val="00C01A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A4CBE-84BD-494E-8141-0617E3BD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A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01AF2"/>
    <w:pPr>
      <w:jc w:val="both"/>
    </w:pPr>
    <w:rPr>
      <w:lang w:val="es-MX"/>
    </w:rPr>
  </w:style>
  <w:style w:type="character" w:customStyle="1" w:styleId="TextoindependienteCar">
    <w:name w:val="Texto independiente Car"/>
    <w:basedOn w:val="Fuentedeprrafopredeter"/>
    <w:link w:val="Textoindependiente"/>
    <w:rsid w:val="00C01AF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01AF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01AF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3395</Words>
  <Characters>18676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2017-09-01T16:26:00Z</dcterms:created>
  <dcterms:modified xsi:type="dcterms:W3CDTF">2017-09-01T16:26:00Z</dcterms:modified>
</cp:coreProperties>
</file>